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203955" w14:paraId="09AAF3FF" w14:textId="77777777" w:rsidTr="009D407C">
        <w:trPr>
          <w:cantSplit/>
          <w:trHeight w:val="2281"/>
        </w:trPr>
        <w:tc>
          <w:tcPr>
            <w:tcW w:w="5760" w:type="dxa"/>
          </w:tcPr>
          <w:p w14:paraId="1F9ED69E" w14:textId="77777777" w:rsidR="00203955" w:rsidRDefault="00203955" w:rsidP="009D407C">
            <w:pPr>
              <w:spacing w:before="120"/>
              <w:ind w:right="26"/>
              <w:jc w:val="both"/>
              <w:rPr>
                <w:rFonts w:ascii="Arial" w:hAnsi="Arial" w:cs="Arial"/>
                <w:b/>
                <w:sz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4"/>
              </w:rPr>
              <w:t xml:space="preserve">  </w:t>
            </w:r>
          </w:p>
        </w:tc>
        <w:tc>
          <w:tcPr>
            <w:tcW w:w="3600" w:type="dxa"/>
          </w:tcPr>
          <w:p w14:paraId="2B9C3295" w14:textId="77777777" w:rsidR="00203955" w:rsidRDefault="00203955" w:rsidP="009D407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napToGrid/>
                <w:lang w:eastAsia="zh-CN"/>
              </w:rPr>
              <w:drawing>
                <wp:inline distT="0" distB="0" distL="0" distR="0" wp14:anchorId="21A1C627" wp14:editId="563B7E10">
                  <wp:extent cx="2159000" cy="50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D4709" w14:textId="77777777" w:rsidR="00203955" w:rsidRDefault="00203955" w:rsidP="009D407C">
            <w:pPr>
              <w:spacing w:after="1100"/>
              <w:ind w:right="26"/>
              <w:jc w:val="both"/>
              <w:rPr>
                <w:rFonts w:ascii="Arial" w:hAnsi="Arial" w:cs="Arial"/>
              </w:rPr>
            </w:pPr>
          </w:p>
        </w:tc>
      </w:tr>
    </w:tbl>
    <w:p w14:paraId="7E5F3B4D" w14:textId="77777777" w:rsidR="00203955" w:rsidRPr="001F4DD4" w:rsidRDefault="00203955" w:rsidP="00203955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36"/>
        </w:rPr>
      </w:pPr>
      <w:r>
        <w:rPr>
          <w:rFonts w:ascii="Arial" w:hAnsi="Arial" w:cs="Arial"/>
          <w:b w:val="0"/>
          <w:sz w:val="36"/>
        </w:rPr>
        <w:t>Senate</w:t>
      </w:r>
    </w:p>
    <w:p w14:paraId="2672E59F" w14:textId="77777777" w:rsidR="00203955" w:rsidRPr="00CB7F14" w:rsidRDefault="00203955" w:rsidP="00203955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24"/>
          <w:szCs w:val="24"/>
        </w:rPr>
      </w:pPr>
      <w:r w:rsidRPr="00CB7F14">
        <w:rPr>
          <w:rFonts w:ascii="Arial" w:hAnsi="Arial" w:cs="Arial"/>
          <w:sz w:val="24"/>
          <w:szCs w:val="24"/>
        </w:rPr>
        <w:t>Subject:</w:t>
      </w:r>
      <w:r w:rsidRPr="00CB7F14">
        <w:rPr>
          <w:rFonts w:ascii="Arial" w:hAnsi="Arial" w:cs="Arial"/>
          <w:sz w:val="24"/>
          <w:szCs w:val="24"/>
        </w:rPr>
        <w:tab/>
        <w:t xml:space="preserve">National Student Survey 2012 </w:t>
      </w:r>
    </w:p>
    <w:p w14:paraId="20DFC6ED" w14:textId="77777777" w:rsidR="00203955" w:rsidRPr="00CB7F14" w:rsidRDefault="00203955" w:rsidP="00203955">
      <w:pPr>
        <w:tabs>
          <w:tab w:val="left" w:pos="1170"/>
        </w:tabs>
        <w:outlineLvl w:val="0"/>
        <w:rPr>
          <w:rFonts w:ascii="Arial" w:hAnsi="Arial" w:cs="Arial"/>
          <w:b/>
          <w:szCs w:val="24"/>
        </w:rPr>
      </w:pPr>
      <w:r w:rsidRPr="00CB7F14">
        <w:rPr>
          <w:rFonts w:ascii="Arial" w:hAnsi="Arial" w:cs="Arial"/>
          <w:b/>
          <w:szCs w:val="24"/>
        </w:rPr>
        <w:t xml:space="preserve">Origin: </w:t>
      </w:r>
      <w:r w:rsidRPr="00CB7F14">
        <w:rPr>
          <w:rFonts w:ascii="Arial" w:hAnsi="Arial" w:cs="Arial"/>
          <w:b/>
          <w:szCs w:val="24"/>
        </w:rPr>
        <w:tab/>
        <w:t>PVCT</w:t>
      </w:r>
    </w:p>
    <w:p w14:paraId="43DF347C" w14:textId="77777777" w:rsidR="00203955" w:rsidRPr="001F4DD4" w:rsidRDefault="00203955" w:rsidP="00203955">
      <w:pPr>
        <w:tabs>
          <w:tab w:val="left" w:pos="1170"/>
          <w:tab w:val="left" w:pos="8910"/>
        </w:tabs>
        <w:rPr>
          <w:rFonts w:ascii="Arial" w:hAnsi="Arial" w:cs="Arial"/>
          <w:b/>
          <w:sz w:val="22"/>
          <w:u w:val="single"/>
        </w:rPr>
      </w:pPr>
      <w:r w:rsidRPr="001F4DD4">
        <w:rPr>
          <w:rFonts w:ascii="Arial" w:hAnsi="Arial" w:cs="Arial"/>
          <w:b/>
          <w:sz w:val="22"/>
          <w:u w:val="single"/>
        </w:rPr>
        <w:tab/>
      </w:r>
      <w:r w:rsidRPr="001F4DD4">
        <w:rPr>
          <w:rFonts w:ascii="Arial" w:hAnsi="Arial" w:cs="Arial"/>
          <w:b/>
          <w:sz w:val="22"/>
          <w:u w:val="single"/>
        </w:rPr>
        <w:tab/>
      </w:r>
    </w:p>
    <w:p w14:paraId="7F2FE488" w14:textId="48E9E08E" w:rsidR="00203955" w:rsidRPr="00DB5094" w:rsidRDefault="00440B04" w:rsidP="00203955">
      <w:pPr>
        <w:tabs>
          <w:tab w:val="left" w:pos="1170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Executive </w:t>
      </w:r>
      <w:r w:rsidR="00203955" w:rsidRPr="001F4DD4">
        <w:rPr>
          <w:rFonts w:ascii="Arial" w:hAnsi="Arial" w:cs="Arial"/>
          <w:b/>
          <w:sz w:val="22"/>
        </w:rPr>
        <w:t xml:space="preserve">Summary: </w:t>
      </w:r>
    </w:p>
    <w:p w14:paraId="7FCBA341" w14:textId="1A610E29" w:rsidR="004F5C8F" w:rsidRPr="00261445" w:rsidRDefault="004F5C8F" w:rsidP="004F5C8F">
      <w:pPr>
        <w:tabs>
          <w:tab w:val="left" w:pos="1170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results of the most recent </w:t>
      </w:r>
      <w:r w:rsidRPr="001F4DD4">
        <w:rPr>
          <w:rFonts w:ascii="Arial" w:hAnsi="Arial" w:cs="Arial"/>
          <w:sz w:val="22"/>
        </w:rPr>
        <w:t>National Student Survey</w:t>
      </w:r>
      <w:r>
        <w:rPr>
          <w:rFonts w:ascii="Arial" w:hAnsi="Arial" w:cs="Arial"/>
          <w:sz w:val="22"/>
        </w:rPr>
        <w:t xml:space="preserve"> are summarised below.  The outcomes at institutional level place Loughborough in a </w:t>
      </w:r>
      <w:r w:rsidRPr="001F4DD4">
        <w:rPr>
          <w:rFonts w:ascii="Arial" w:hAnsi="Arial" w:cs="Arial"/>
          <w:sz w:val="22"/>
        </w:rPr>
        <w:t xml:space="preserve">strong position within the sector.  </w:t>
      </w:r>
      <w:r>
        <w:rPr>
          <w:rFonts w:ascii="Arial" w:hAnsi="Arial" w:cs="Arial"/>
          <w:sz w:val="22"/>
        </w:rPr>
        <w:t>However, there are marked variations in performance between subject areas.  Some subject</w:t>
      </w:r>
      <w:r w:rsidRPr="001F4DD4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 xml:space="preserve">and programmes </w:t>
      </w:r>
      <w:r w:rsidRPr="001F4DD4">
        <w:rPr>
          <w:rFonts w:ascii="Arial" w:hAnsi="Arial" w:cs="Arial"/>
          <w:sz w:val="22"/>
        </w:rPr>
        <w:t xml:space="preserve">have exceptionally good results.  In others the outcomes are </w:t>
      </w:r>
      <w:r>
        <w:rPr>
          <w:rFonts w:ascii="Arial" w:hAnsi="Arial" w:cs="Arial"/>
          <w:sz w:val="22"/>
        </w:rPr>
        <w:t xml:space="preserve">very </w:t>
      </w:r>
      <w:r w:rsidRPr="001F4DD4">
        <w:rPr>
          <w:rFonts w:ascii="Arial" w:hAnsi="Arial" w:cs="Arial"/>
          <w:sz w:val="22"/>
        </w:rPr>
        <w:t>disappointing</w:t>
      </w:r>
      <w:r>
        <w:rPr>
          <w:rFonts w:ascii="Arial" w:hAnsi="Arial" w:cs="Arial"/>
          <w:sz w:val="22"/>
        </w:rPr>
        <w:t xml:space="preserve"> indeed</w:t>
      </w:r>
      <w:r w:rsidRPr="001F4DD4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Actions are underway to address areas of weakness.</w:t>
      </w:r>
    </w:p>
    <w:p w14:paraId="03B632E8" w14:textId="77777777" w:rsidR="004F5C8F" w:rsidRPr="00EA7F36" w:rsidRDefault="004F5C8F" w:rsidP="00203955">
      <w:pPr>
        <w:tabs>
          <w:tab w:val="left" w:pos="1170"/>
        </w:tabs>
        <w:outlineLvl w:val="0"/>
        <w:rPr>
          <w:rFonts w:ascii="Arial" w:hAnsi="Arial" w:cs="Arial"/>
          <w:sz w:val="22"/>
        </w:rPr>
      </w:pPr>
    </w:p>
    <w:p w14:paraId="36F4946C" w14:textId="4703BCEA" w:rsidR="00203955" w:rsidRPr="001F4DD4" w:rsidRDefault="00203955" w:rsidP="00203955">
      <w:pPr>
        <w:tabs>
          <w:tab w:val="left" w:pos="1170"/>
        </w:tabs>
        <w:outlineLvl w:val="0"/>
        <w:rPr>
          <w:rFonts w:ascii="Arial" w:hAnsi="Arial" w:cs="Arial"/>
          <w:b/>
          <w:sz w:val="22"/>
        </w:rPr>
      </w:pPr>
      <w:r w:rsidRPr="001F4DD4">
        <w:rPr>
          <w:rFonts w:ascii="Arial" w:hAnsi="Arial" w:cs="Arial"/>
          <w:b/>
          <w:sz w:val="22"/>
        </w:rPr>
        <w:t xml:space="preserve">Action Required: </w:t>
      </w:r>
    </w:p>
    <w:p w14:paraId="5FEECC19" w14:textId="349D1048" w:rsidR="00203955" w:rsidRDefault="004F5C8F" w:rsidP="00203955">
      <w:pPr>
        <w:tabs>
          <w:tab w:val="left" w:pos="1170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Senate </w:t>
      </w:r>
      <w:r w:rsidR="00203955">
        <w:rPr>
          <w:rFonts w:ascii="Arial" w:hAnsi="Arial" w:cs="Arial"/>
          <w:sz w:val="22"/>
        </w:rPr>
        <w:t xml:space="preserve">is asked to note </w:t>
      </w:r>
      <w:r w:rsidR="00EA7F36">
        <w:rPr>
          <w:rFonts w:ascii="Arial" w:hAnsi="Arial" w:cs="Arial"/>
          <w:sz w:val="22"/>
        </w:rPr>
        <w:t xml:space="preserve">the contents of the </w:t>
      </w:r>
      <w:r>
        <w:rPr>
          <w:rFonts w:ascii="Arial" w:hAnsi="Arial" w:cs="Arial"/>
          <w:sz w:val="22"/>
        </w:rPr>
        <w:t>paper</w:t>
      </w:r>
      <w:r w:rsidR="00EA7F36">
        <w:rPr>
          <w:rFonts w:ascii="Arial" w:hAnsi="Arial" w:cs="Arial"/>
          <w:sz w:val="22"/>
        </w:rPr>
        <w:t xml:space="preserve">. </w:t>
      </w:r>
    </w:p>
    <w:p w14:paraId="6718C541" w14:textId="77777777" w:rsidR="00203955" w:rsidRPr="001F4DD4" w:rsidRDefault="00203955" w:rsidP="00203955">
      <w:pPr>
        <w:tabs>
          <w:tab w:val="left" w:pos="1170"/>
          <w:tab w:val="left" w:pos="8910"/>
        </w:tabs>
        <w:rPr>
          <w:rFonts w:ascii="Arial" w:hAnsi="Arial" w:cs="Arial"/>
          <w:b/>
          <w:sz w:val="22"/>
          <w:u w:val="single"/>
        </w:rPr>
      </w:pPr>
      <w:r w:rsidRPr="001F4DD4">
        <w:rPr>
          <w:rFonts w:ascii="Arial" w:hAnsi="Arial" w:cs="Arial"/>
          <w:b/>
          <w:sz w:val="22"/>
          <w:u w:val="single"/>
        </w:rPr>
        <w:tab/>
      </w:r>
      <w:r w:rsidRPr="001F4DD4">
        <w:rPr>
          <w:rFonts w:ascii="Arial" w:hAnsi="Arial" w:cs="Arial"/>
          <w:b/>
          <w:sz w:val="22"/>
          <w:u w:val="single"/>
        </w:rPr>
        <w:tab/>
      </w:r>
    </w:p>
    <w:p w14:paraId="3C543737" w14:textId="77777777" w:rsidR="00203955" w:rsidRDefault="00203955" w:rsidP="00203955">
      <w:pPr>
        <w:tabs>
          <w:tab w:val="left" w:pos="720"/>
          <w:tab w:val="left" w:pos="5760"/>
          <w:tab w:val="left" w:pos="8910"/>
        </w:tabs>
        <w:spacing w:before="0" w:after="0"/>
        <w:rPr>
          <w:rFonts w:ascii="Arial" w:hAnsi="Arial" w:cs="Arial"/>
          <w:sz w:val="22"/>
        </w:rPr>
      </w:pPr>
    </w:p>
    <w:p w14:paraId="6EEBBDF3" w14:textId="77777777" w:rsidR="00DB5094" w:rsidRPr="00F275B7" w:rsidRDefault="00DB5094" w:rsidP="00DB5094">
      <w:pPr>
        <w:ind w:right="-64"/>
        <w:rPr>
          <w:rFonts w:ascii="Arial" w:hAnsi="Arial"/>
          <w:sz w:val="22"/>
          <w:szCs w:val="22"/>
        </w:rPr>
      </w:pPr>
      <w:r w:rsidRPr="00F275B7">
        <w:rPr>
          <w:rFonts w:ascii="Arial" w:hAnsi="Arial"/>
          <w:sz w:val="22"/>
          <w:szCs w:val="22"/>
        </w:rPr>
        <w:t xml:space="preserve">In response to the Government’s commitment to making a greater range of information available to </w:t>
      </w:r>
      <w:r>
        <w:rPr>
          <w:rFonts w:ascii="Arial" w:hAnsi="Arial"/>
          <w:sz w:val="22"/>
          <w:szCs w:val="22"/>
        </w:rPr>
        <w:t xml:space="preserve">current and prospective </w:t>
      </w:r>
      <w:r w:rsidRPr="00F275B7">
        <w:rPr>
          <w:rFonts w:ascii="Arial" w:hAnsi="Arial"/>
          <w:sz w:val="22"/>
          <w:szCs w:val="22"/>
        </w:rPr>
        <w:t>undergraduate students, all universities have been required to produce Key Information Sets.  These were published on 27 September.  They include the latest NSS</w:t>
      </w:r>
      <w:r>
        <w:rPr>
          <w:rFonts w:ascii="Arial" w:hAnsi="Arial"/>
          <w:sz w:val="22"/>
          <w:szCs w:val="22"/>
        </w:rPr>
        <w:t xml:space="preserve"> data.  </w:t>
      </w:r>
      <w:r>
        <w:rPr>
          <w:rFonts w:ascii="Arial" w:hAnsi="Arial"/>
          <w:sz w:val="22"/>
        </w:rPr>
        <w:t>This is the eighth year of the Survey</w:t>
      </w:r>
      <w:r w:rsidRPr="004C3C10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 xml:space="preserve">many </w:t>
      </w:r>
      <w:r w:rsidRPr="004C3C10">
        <w:rPr>
          <w:rFonts w:ascii="Arial" w:hAnsi="Arial"/>
          <w:sz w:val="22"/>
        </w:rPr>
        <w:t>Loughborough final year students have indicated once again their high level of satisfaction with the quali</w:t>
      </w:r>
      <w:r>
        <w:rPr>
          <w:rFonts w:ascii="Arial" w:hAnsi="Arial"/>
          <w:sz w:val="22"/>
        </w:rPr>
        <w:t xml:space="preserve">ty of their degree programmes.  </w:t>
      </w:r>
    </w:p>
    <w:p w14:paraId="2481706A" w14:textId="77777777" w:rsidR="00203955" w:rsidRDefault="00203955" w:rsidP="002039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 summarises t</w:t>
      </w:r>
      <w:r w:rsidRPr="0036750F">
        <w:rPr>
          <w:rFonts w:ascii="Arial" w:hAnsi="Arial" w:cs="Arial"/>
          <w:sz w:val="22"/>
          <w:szCs w:val="22"/>
        </w:rPr>
        <w:t xml:space="preserve">he University’s position </w:t>
      </w:r>
      <w:r>
        <w:rPr>
          <w:rFonts w:ascii="Arial" w:hAnsi="Arial" w:cs="Arial"/>
          <w:sz w:val="22"/>
          <w:szCs w:val="22"/>
        </w:rPr>
        <w:t xml:space="preserve">in the various groups of questions, </w:t>
      </w:r>
      <w:r w:rsidRPr="0036750F">
        <w:rPr>
          <w:rFonts w:ascii="Arial" w:hAnsi="Arial" w:cs="Arial"/>
          <w:sz w:val="22"/>
          <w:szCs w:val="22"/>
        </w:rPr>
        <w:t>when compared with other Non-speci</w:t>
      </w:r>
      <w:r>
        <w:rPr>
          <w:rFonts w:ascii="Arial" w:hAnsi="Arial" w:cs="Arial"/>
          <w:sz w:val="22"/>
          <w:szCs w:val="22"/>
        </w:rPr>
        <w:t xml:space="preserve">alist, Non-College Institutions.  On question 22 (‘students’ overall satisfaction with your course’), on which the universities are ranked, Loughborough </w:t>
      </w:r>
      <w:r w:rsidRPr="0036750F">
        <w:rPr>
          <w:rFonts w:ascii="Arial" w:hAnsi="Arial" w:cs="Arial"/>
          <w:sz w:val="22"/>
          <w:szCs w:val="22"/>
        </w:rPr>
        <w:t>has improved on ‘% Agree’ from =17</w:t>
      </w:r>
      <w:r w:rsidRPr="0036750F">
        <w:rPr>
          <w:rFonts w:ascii="Arial" w:hAnsi="Arial" w:cs="Arial"/>
          <w:sz w:val="22"/>
          <w:szCs w:val="22"/>
          <w:vertAlign w:val="superscript"/>
        </w:rPr>
        <w:t>th</w:t>
      </w:r>
      <w:r w:rsidRPr="0036750F">
        <w:rPr>
          <w:rFonts w:ascii="Arial" w:hAnsi="Arial" w:cs="Arial"/>
          <w:sz w:val="22"/>
          <w:szCs w:val="22"/>
        </w:rPr>
        <w:t xml:space="preserve"> last year to =16</w:t>
      </w:r>
      <w:r w:rsidRPr="0036750F">
        <w:rPr>
          <w:rFonts w:ascii="Arial" w:hAnsi="Arial" w:cs="Arial"/>
          <w:sz w:val="22"/>
          <w:szCs w:val="22"/>
          <w:vertAlign w:val="superscript"/>
        </w:rPr>
        <w:t>th</w:t>
      </w:r>
      <w:r w:rsidRPr="0036750F">
        <w:rPr>
          <w:rFonts w:ascii="Arial" w:hAnsi="Arial" w:cs="Arial"/>
          <w:sz w:val="22"/>
          <w:szCs w:val="22"/>
        </w:rPr>
        <w:t xml:space="preserve"> this year (89% in the 9</w:t>
      </w:r>
      <w:r w:rsidRPr="0036750F">
        <w:rPr>
          <w:rFonts w:ascii="Arial" w:hAnsi="Arial" w:cs="Arial"/>
          <w:sz w:val="22"/>
          <w:szCs w:val="22"/>
          <w:vertAlign w:val="superscript"/>
        </w:rPr>
        <w:t>th</w:t>
      </w:r>
      <w:r w:rsidRPr="0036750F">
        <w:rPr>
          <w:rFonts w:ascii="Arial" w:hAnsi="Arial" w:cs="Arial"/>
          <w:sz w:val="22"/>
          <w:szCs w:val="22"/>
        </w:rPr>
        <w:t xml:space="preserve"> percentile)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14C25DD0" w14:textId="1945B65D" w:rsidR="00203955" w:rsidRPr="003A2329" w:rsidRDefault="00203955" w:rsidP="002039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36750F">
        <w:rPr>
          <w:rFonts w:ascii="Arial" w:hAnsi="Arial" w:cs="Arial"/>
          <w:sz w:val="22"/>
          <w:szCs w:val="22"/>
        </w:rPr>
        <w:t xml:space="preserve"> fina</w:t>
      </w:r>
      <w:r>
        <w:rPr>
          <w:rFonts w:ascii="Arial" w:hAnsi="Arial" w:cs="Arial"/>
          <w:sz w:val="22"/>
          <w:szCs w:val="22"/>
        </w:rPr>
        <w:t xml:space="preserve">l column of Table 1 </w:t>
      </w:r>
      <w:r w:rsidRPr="0036750F">
        <w:rPr>
          <w:rFonts w:ascii="Arial" w:hAnsi="Arial" w:cs="Arial"/>
          <w:sz w:val="22"/>
          <w:szCs w:val="22"/>
        </w:rPr>
        <w:t xml:space="preserve">summarises the results across all questions, and is an indicator of institutional performance in the Survey as a whole.  </w:t>
      </w:r>
      <w:r w:rsidR="002C0AB1" w:rsidRPr="003C4ACB">
        <w:rPr>
          <w:rFonts w:ascii="Arial" w:hAnsi="Arial" w:cs="Arial"/>
          <w:sz w:val="22"/>
          <w:szCs w:val="22"/>
        </w:rPr>
        <w:t>On this important measure Loughborough</w:t>
      </w:r>
      <w:r w:rsidR="002C0AB1">
        <w:rPr>
          <w:rFonts w:ascii="Arial" w:hAnsi="Arial" w:cs="Arial"/>
          <w:sz w:val="22"/>
          <w:szCs w:val="22"/>
        </w:rPr>
        <w:t>’s</w:t>
      </w:r>
      <w:r w:rsidR="002C0AB1" w:rsidRPr="003C4ACB">
        <w:rPr>
          <w:rFonts w:ascii="Arial" w:hAnsi="Arial" w:cs="Arial"/>
          <w:sz w:val="22"/>
          <w:szCs w:val="22"/>
        </w:rPr>
        <w:t xml:space="preserve"> </w:t>
      </w:r>
      <w:r w:rsidR="002C0AB1">
        <w:rPr>
          <w:rFonts w:ascii="Arial" w:hAnsi="Arial" w:cs="Arial"/>
          <w:sz w:val="22"/>
          <w:szCs w:val="22"/>
        </w:rPr>
        <w:t>score of 84% is = 4</w:t>
      </w:r>
      <w:r w:rsidR="002C0AB1" w:rsidRPr="003C4ACB">
        <w:rPr>
          <w:rFonts w:ascii="Arial" w:hAnsi="Arial" w:cs="Arial"/>
          <w:sz w:val="22"/>
          <w:szCs w:val="22"/>
          <w:vertAlign w:val="superscript"/>
        </w:rPr>
        <w:t>th</w:t>
      </w:r>
      <w:r w:rsidR="002C0AB1">
        <w:rPr>
          <w:rFonts w:ascii="Arial" w:hAnsi="Arial" w:cs="Arial"/>
          <w:sz w:val="22"/>
          <w:szCs w:val="22"/>
        </w:rPr>
        <w:t xml:space="preserve">.  </w:t>
      </w:r>
      <w:r w:rsidR="002C0AB1" w:rsidRPr="003C4ACB">
        <w:rPr>
          <w:rFonts w:ascii="Arial" w:hAnsi="Arial" w:cs="Arial"/>
          <w:sz w:val="22"/>
          <w:szCs w:val="22"/>
        </w:rPr>
        <w:t xml:space="preserve">(In 2011 the </w:t>
      </w:r>
      <w:proofErr w:type="gramStart"/>
      <w:r w:rsidR="002C0AB1" w:rsidRPr="003C4ACB">
        <w:rPr>
          <w:rFonts w:ascii="Arial" w:hAnsi="Arial" w:cs="Arial"/>
          <w:sz w:val="22"/>
          <w:szCs w:val="22"/>
        </w:rPr>
        <w:t xml:space="preserve">University </w:t>
      </w:r>
      <w:r w:rsidR="002C0AB1">
        <w:rPr>
          <w:rFonts w:ascii="Arial" w:hAnsi="Arial" w:cs="Arial"/>
          <w:sz w:val="22"/>
          <w:szCs w:val="22"/>
        </w:rPr>
        <w:t>‘s</w:t>
      </w:r>
      <w:proofErr w:type="gramEnd"/>
      <w:r w:rsidR="002C0AB1">
        <w:rPr>
          <w:rFonts w:ascii="Arial" w:hAnsi="Arial" w:cs="Arial"/>
          <w:sz w:val="22"/>
          <w:szCs w:val="22"/>
        </w:rPr>
        <w:t xml:space="preserve"> score of 84% was </w:t>
      </w:r>
      <w:r w:rsidR="002C0AB1" w:rsidRPr="003C4ACB">
        <w:rPr>
          <w:rFonts w:ascii="Arial" w:hAnsi="Arial" w:cs="Arial"/>
          <w:iCs/>
          <w:sz w:val="22"/>
          <w:szCs w:val="22"/>
        </w:rPr>
        <w:t>3</w:t>
      </w:r>
      <w:r w:rsidR="002C0AB1" w:rsidRPr="003C4ACB">
        <w:rPr>
          <w:rFonts w:ascii="Arial" w:hAnsi="Arial" w:cs="Arial"/>
          <w:iCs/>
          <w:sz w:val="22"/>
          <w:szCs w:val="22"/>
          <w:vertAlign w:val="superscript"/>
        </w:rPr>
        <w:t xml:space="preserve">rd </w:t>
      </w:r>
      <w:r w:rsidR="002C0AB1" w:rsidRPr="003C4ACB">
        <w:rPr>
          <w:rFonts w:ascii="Arial" w:hAnsi="Arial" w:cs="Arial"/>
          <w:iCs/>
          <w:sz w:val="22"/>
          <w:szCs w:val="22"/>
        </w:rPr>
        <w:t>)</w:t>
      </w:r>
    </w:p>
    <w:p w14:paraId="2E8414F7" w14:textId="1BB03D87" w:rsidR="00203955" w:rsidRDefault="00203955" w:rsidP="002C0A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6750F">
        <w:rPr>
          <w:rFonts w:ascii="Arial" w:hAnsi="Arial" w:cs="Arial"/>
          <w:sz w:val="22"/>
          <w:szCs w:val="22"/>
        </w:rPr>
        <w:t xml:space="preserve">t subject </w:t>
      </w:r>
      <w:r>
        <w:rPr>
          <w:rFonts w:ascii="Arial" w:hAnsi="Arial" w:cs="Arial"/>
          <w:sz w:val="22"/>
          <w:szCs w:val="22"/>
        </w:rPr>
        <w:t xml:space="preserve">group </w:t>
      </w:r>
      <w:r w:rsidRPr="0036750F">
        <w:rPr>
          <w:rFonts w:ascii="Arial" w:hAnsi="Arial" w:cs="Arial"/>
          <w:sz w:val="22"/>
          <w:szCs w:val="22"/>
        </w:rPr>
        <w:t>level</w:t>
      </w:r>
      <w:r>
        <w:rPr>
          <w:rFonts w:ascii="Arial" w:hAnsi="Arial" w:cs="Arial"/>
          <w:sz w:val="22"/>
          <w:szCs w:val="22"/>
        </w:rPr>
        <w:t>,</w:t>
      </w:r>
      <w:r w:rsidRPr="0036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 2 sets out the results on Question 22, Overall Satisfaction. Of the 30 subject groups</w:t>
      </w:r>
      <w:r w:rsidRPr="0036750F">
        <w:rPr>
          <w:rFonts w:ascii="Arial" w:hAnsi="Arial" w:cs="Arial"/>
          <w:sz w:val="22"/>
          <w:szCs w:val="22"/>
        </w:rPr>
        <w:t xml:space="preserve"> in which </w:t>
      </w:r>
      <w:r>
        <w:rPr>
          <w:rFonts w:ascii="Arial" w:hAnsi="Arial" w:cs="Arial"/>
          <w:sz w:val="22"/>
          <w:szCs w:val="22"/>
        </w:rPr>
        <w:t xml:space="preserve">Loughborough </w:t>
      </w:r>
      <w:r w:rsidRPr="0036750F">
        <w:rPr>
          <w:rFonts w:ascii="Arial" w:hAnsi="Arial" w:cs="Arial"/>
          <w:sz w:val="22"/>
          <w:szCs w:val="22"/>
        </w:rPr>
        <w:t>appear</w:t>
      </w:r>
      <w:r>
        <w:rPr>
          <w:rFonts w:ascii="Arial" w:hAnsi="Arial" w:cs="Arial"/>
          <w:sz w:val="22"/>
          <w:szCs w:val="22"/>
        </w:rPr>
        <w:t>s</w:t>
      </w:r>
      <w:r w:rsidRPr="0036750F">
        <w:rPr>
          <w:rFonts w:ascii="Arial" w:hAnsi="Arial" w:cs="Arial"/>
          <w:sz w:val="22"/>
          <w:szCs w:val="22"/>
        </w:rPr>
        <w:t xml:space="preserve">, some outcomes are exceptionally good with </w:t>
      </w:r>
      <w:r w:rsidRPr="003A2329">
        <w:rPr>
          <w:rFonts w:ascii="Arial" w:hAnsi="Arial" w:cs="Arial"/>
          <w:iCs/>
          <w:sz w:val="22"/>
          <w:szCs w:val="22"/>
        </w:rPr>
        <w:t>two</w:t>
      </w:r>
      <w:r w:rsidRPr="003675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36750F">
        <w:rPr>
          <w:rFonts w:ascii="Arial" w:hAnsi="Arial" w:cs="Arial"/>
          <w:sz w:val="22"/>
          <w:szCs w:val="22"/>
        </w:rPr>
        <w:t>subjects ranked 1</w:t>
      </w:r>
      <w:r w:rsidRPr="0036750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and a further 11</w:t>
      </w:r>
      <w:r w:rsidRPr="0036750F">
        <w:rPr>
          <w:rFonts w:ascii="Arial" w:hAnsi="Arial" w:cs="Arial"/>
          <w:sz w:val="22"/>
          <w:szCs w:val="22"/>
        </w:rPr>
        <w:t xml:space="preserve"> producing a score that is within the top 20</w:t>
      </w:r>
      <w:r w:rsidRPr="0036750F">
        <w:rPr>
          <w:rFonts w:ascii="Arial" w:hAnsi="Arial" w:cs="Arial"/>
          <w:sz w:val="22"/>
          <w:szCs w:val="22"/>
          <w:vertAlign w:val="superscript"/>
        </w:rPr>
        <w:t>th</w:t>
      </w:r>
      <w:r w:rsidRPr="0036750F">
        <w:rPr>
          <w:rFonts w:ascii="Arial" w:hAnsi="Arial" w:cs="Arial"/>
          <w:sz w:val="22"/>
          <w:szCs w:val="22"/>
        </w:rPr>
        <w:t xml:space="preserve"> percentile in their subject area.</w:t>
      </w:r>
      <w:r>
        <w:rPr>
          <w:rFonts w:ascii="Arial" w:hAnsi="Arial" w:cs="Arial"/>
          <w:sz w:val="22"/>
          <w:szCs w:val="22"/>
        </w:rPr>
        <w:t xml:space="preserve"> </w:t>
      </w:r>
      <w:r w:rsidR="00DB5094">
        <w:rPr>
          <w:rFonts w:ascii="Arial" w:hAnsi="Arial" w:cs="Arial"/>
          <w:sz w:val="22"/>
          <w:szCs w:val="22"/>
        </w:rPr>
        <w:t xml:space="preserve"> </w:t>
      </w:r>
      <w:r w:rsidR="0091147C">
        <w:rPr>
          <w:rFonts w:ascii="Arial" w:hAnsi="Arial" w:cs="Arial"/>
          <w:sz w:val="22"/>
        </w:rPr>
        <w:t>In other areas</w:t>
      </w:r>
      <w:r w:rsidR="00DB5094" w:rsidRPr="001F4DD4">
        <w:rPr>
          <w:rFonts w:ascii="Arial" w:hAnsi="Arial" w:cs="Arial"/>
          <w:sz w:val="22"/>
        </w:rPr>
        <w:t xml:space="preserve"> the outcomes are </w:t>
      </w:r>
      <w:r w:rsidR="00DB5094">
        <w:rPr>
          <w:rFonts w:ascii="Arial" w:hAnsi="Arial" w:cs="Arial"/>
          <w:sz w:val="22"/>
        </w:rPr>
        <w:t xml:space="preserve">very </w:t>
      </w:r>
      <w:r w:rsidR="00DB5094" w:rsidRPr="001F4DD4">
        <w:rPr>
          <w:rFonts w:ascii="Arial" w:hAnsi="Arial" w:cs="Arial"/>
          <w:sz w:val="22"/>
        </w:rPr>
        <w:t>disappointing</w:t>
      </w:r>
      <w:r w:rsidR="00DB5094">
        <w:rPr>
          <w:rFonts w:ascii="Arial" w:hAnsi="Arial" w:cs="Arial"/>
          <w:sz w:val="22"/>
        </w:rPr>
        <w:t xml:space="preserve"> indeed</w:t>
      </w:r>
      <w:r w:rsidR="00DB5094" w:rsidRPr="001F4DD4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2AF5A0" w14:textId="1868F830" w:rsidR="00351235" w:rsidRPr="00261445" w:rsidRDefault="0091147C" w:rsidP="003512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</w:t>
      </w:r>
      <w:r w:rsidR="004F5C8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51235">
        <w:rPr>
          <w:rFonts w:ascii="Arial" w:hAnsi="Arial" w:cs="Arial"/>
          <w:sz w:val="22"/>
          <w:szCs w:val="22"/>
        </w:rPr>
        <w:t xml:space="preserve">are underway with Deans and ADTs to address areas of weakness.  </w:t>
      </w:r>
      <w:r>
        <w:rPr>
          <w:rFonts w:ascii="Arial" w:hAnsi="Arial" w:cs="Arial"/>
          <w:sz w:val="22"/>
          <w:szCs w:val="22"/>
        </w:rPr>
        <w:t xml:space="preserve">Progress </w:t>
      </w:r>
      <w:r w:rsidR="00351235">
        <w:rPr>
          <w:rFonts w:ascii="Arial" w:hAnsi="Arial" w:cs="Arial"/>
          <w:sz w:val="22"/>
          <w:szCs w:val="22"/>
        </w:rPr>
        <w:t>is being</w:t>
      </w:r>
      <w:r w:rsidR="00351235" w:rsidRPr="0036750F">
        <w:rPr>
          <w:rFonts w:ascii="Arial" w:hAnsi="Arial" w:cs="Arial"/>
          <w:sz w:val="22"/>
          <w:szCs w:val="22"/>
        </w:rPr>
        <w:t xml:space="preserve"> monitored by the PVCT with the ADTs, and by the Provost at his regular meetings with Deans. </w:t>
      </w:r>
    </w:p>
    <w:p w14:paraId="2B315571" w14:textId="77777777" w:rsidR="00203955" w:rsidRDefault="00203955" w:rsidP="00203955">
      <w:pPr>
        <w:rPr>
          <w:rFonts w:ascii="Arial" w:hAnsi="Arial" w:cs="Arial"/>
          <w:color w:val="12396A"/>
          <w:sz w:val="22"/>
          <w:szCs w:val="22"/>
        </w:rPr>
      </w:pPr>
    </w:p>
    <w:p w14:paraId="1F9253FF" w14:textId="132E227F" w:rsidR="00203955" w:rsidRPr="007776F8" w:rsidRDefault="00203955" w:rsidP="007776F8">
      <w:pPr>
        <w:tabs>
          <w:tab w:val="left" w:pos="720"/>
          <w:tab w:val="left" w:pos="5760"/>
          <w:tab w:val="left" w:pos="891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AD1E86" w14:textId="7149C136" w:rsidR="00203955" w:rsidRDefault="004F5C8F" w:rsidP="00203955">
      <w:pPr>
        <w:pStyle w:val="BodyText"/>
      </w:pPr>
      <w:r>
        <w:t>Date – October</w:t>
      </w:r>
      <w:r w:rsidR="00203955">
        <w:t xml:space="preserve"> 2012</w:t>
      </w:r>
      <w:r w:rsidR="00203955">
        <w:br/>
        <w:t>Copyright (c) Loughborough University.  All rights reserved.</w:t>
      </w:r>
      <w:r w:rsidR="00203955">
        <w:tab/>
      </w:r>
    </w:p>
    <w:p w14:paraId="4B78E00F" w14:textId="77777777" w:rsidR="00203955" w:rsidRDefault="00203955" w:rsidP="00203955">
      <w:pPr>
        <w:rPr>
          <w:rFonts w:ascii="Arial" w:hAnsi="Arial"/>
          <w:szCs w:val="22"/>
        </w:rPr>
        <w:sectPr w:rsidR="00203955" w:rsidSect="00DD510B">
          <w:headerReference w:type="first" r:id="rId9"/>
          <w:pgSz w:w="11901" w:h="16840" w:code="9"/>
          <w:pgMar w:top="1009" w:right="1440" w:bottom="1077" w:left="1440" w:header="709" w:footer="709" w:gutter="0"/>
          <w:cols w:space="720"/>
          <w:titlePg/>
          <w:docGrid w:linePitch="326"/>
        </w:sect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2695"/>
        <w:gridCol w:w="1514"/>
        <w:gridCol w:w="1436"/>
        <w:gridCol w:w="1694"/>
        <w:gridCol w:w="1341"/>
        <w:gridCol w:w="1832"/>
        <w:gridCol w:w="1375"/>
        <w:gridCol w:w="1652"/>
        <w:gridCol w:w="1343"/>
      </w:tblGrid>
      <w:tr w:rsidR="00203955" w:rsidRPr="002E37EE" w14:paraId="0A8F6A3C" w14:textId="77777777" w:rsidTr="009D407C">
        <w:trPr>
          <w:trHeight w:val="2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7012" w14:textId="77777777" w:rsidR="00203955" w:rsidRDefault="00203955" w:rsidP="009D407C">
            <w:pPr>
              <w:widowControl/>
              <w:spacing w:before="0" w:after="0"/>
              <w:rPr>
                <w:rFonts w:ascii="Arial" w:hAnsi="Arial"/>
                <w:b/>
                <w:bCs/>
                <w:snapToGrid/>
                <w:sz w:val="20"/>
              </w:rPr>
            </w:pPr>
            <w:r>
              <w:rPr>
                <w:rFonts w:ascii="Arial" w:hAnsi="Arial"/>
                <w:b/>
                <w:bCs/>
                <w:snapToGrid/>
                <w:sz w:val="20"/>
              </w:rPr>
              <w:lastRenderedPageBreak/>
              <w:t>Table 1</w:t>
            </w:r>
          </w:p>
          <w:p w14:paraId="4B304D76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b/>
                <w:bCs/>
                <w:snapToGrid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8980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C0FA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099E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C13A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84D9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23D7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1D2FB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EC42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</w:tr>
      <w:tr w:rsidR="00203955" w:rsidRPr="002E37EE" w14:paraId="6C2375B6" w14:textId="77777777" w:rsidTr="009D407C">
        <w:trPr>
          <w:trHeight w:val="260"/>
        </w:trPr>
        <w:tc>
          <w:tcPr>
            <w:tcW w:w="14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337F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b/>
                <w:bCs/>
                <w:snapToGrid/>
                <w:sz w:val="20"/>
              </w:rPr>
            </w:pPr>
            <w:r w:rsidRPr="002E37EE">
              <w:rPr>
                <w:rFonts w:ascii="Arial" w:hAnsi="Arial"/>
                <w:b/>
                <w:bCs/>
                <w:snapToGrid/>
                <w:sz w:val="20"/>
              </w:rPr>
              <w:t>Full Service Traditional Universities only - excluding specialist colleges and University of Buckingham and Open University</w:t>
            </w:r>
          </w:p>
        </w:tc>
      </w:tr>
      <w:tr w:rsidR="00203955" w:rsidRPr="002E37EE" w14:paraId="42E49633" w14:textId="77777777" w:rsidTr="009D407C">
        <w:trPr>
          <w:trHeight w:val="2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BA82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b/>
                <w:bCs/>
                <w:snapToGrid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DC93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DAF5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9D88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2A8B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02EA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C4D8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536F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8F4F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</w:tr>
      <w:tr w:rsidR="00203955" w:rsidRPr="002E37EE" w14:paraId="51E27958" w14:textId="77777777" w:rsidTr="009D407C">
        <w:trPr>
          <w:trHeight w:val="48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30DD3" w14:textId="77777777" w:rsidR="00203955" w:rsidRPr="00B879B0" w:rsidRDefault="00203955" w:rsidP="009D407C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635B0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Overall Satisfaction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67934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The teaching on my course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498AE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Assessment and feedback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22E6B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Academic support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B853A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Organisation and management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2F16B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Learning resources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44634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Personal development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F270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Average over all 7 areas</w:t>
            </w:r>
          </w:p>
        </w:tc>
      </w:tr>
      <w:tr w:rsidR="00203955" w:rsidRPr="002E37EE" w14:paraId="0D7295EE" w14:textId="77777777" w:rsidTr="009D407C">
        <w:trPr>
          <w:trHeight w:val="4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09D2" w14:textId="77777777" w:rsidR="00203955" w:rsidRPr="00B879B0" w:rsidRDefault="00203955" w:rsidP="009D407C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Institution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A9DD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3E67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DB51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3D3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9A2B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2868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EDE2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B13F" w14:textId="77777777" w:rsidR="00203955" w:rsidRPr="00B879B0" w:rsidRDefault="00203955" w:rsidP="009D407C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%age Positive</w:t>
            </w:r>
          </w:p>
        </w:tc>
      </w:tr>
      <w:tr w:rsidR="00203955" w:rsidRPr="002E37EE" w14:paraId="4FBF3900" w14:textId="77777777" w:rsidTr="009D407C">
        <w:trPr>
          <w:trHeight w:val="284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8F58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Oxford (University of)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128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 (=1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st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FD72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93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B2A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72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E083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AFC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DF72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96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8F6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1C30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</w:tr>
      <w:tr w:rsidR="00203955" w:rsidRPr="002E37EE" w14:paraId="43BBB848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8D7D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Cambridge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E21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 (=1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st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FCA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5A2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48BC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218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DC1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1FB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D83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87</w:t>
            </w:r>
          </w:p>
        </w:tc>
      </w:tr>
      <w:tr w:rsidR="00203955" w:rsidRPr="002E37EE" w14:paraId="4DB6E71C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7721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Bath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BDFB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 (=1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st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483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826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F7F6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7435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F784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6E6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DA2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</w:tr>
      <w:tr w:rsidR="00203955" w:rsidRPr="002E37EE" w14:paraId="08248131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F330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East Anglia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A665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91 (=4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9CE2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04C2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AF3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D2D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06E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9760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EDF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</w:tr>
      <w:tr w:rsidR="00203955" w:rsidRPr="002E37EE" w14:paraId="4365FBF7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E174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Exeter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293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91 (=4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B3A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9A6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C688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2569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838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F984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B0A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</w:tr>
      <w:tr w:rsidR="00203955" w:rsidRPr="002E37EE" w14:paraId="31D9BD97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011E4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Lancaster University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258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91 (=4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93B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C8D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90B1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5E8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2D7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B38E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97F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</w:tr>
      <w:tr w:rsidR="00203955" w:rsidRPr="002E37EE" w14:paraId="30489FE0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B220D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St Andrews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F82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 (=9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E40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F199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68EE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F8D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BA13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2CB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A7F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</w:tr>
      <w:tr w:rsidR="00203955" w:rsidRPr="002E37EE" w14:paraId="6AB941E8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127D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proofErr w:type="spellStart"/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Keele</w:t>
            </w:r>
            <w:proofErr w:type="spellEnd"/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 xml:space="preserve"> University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43582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 (=9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5658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2FA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FB1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E6D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7EE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5319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621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</w:tr>
      <w:tr w:rsidR="00203955" w:rsidRPr="002E37EE" w14:paraId="7E2CBADC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3F8A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Surrey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C7E4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 (=9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42C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C172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1AEC7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E02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476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A726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10F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</w:tr>
      <w:tr w:rsidR="00203955" w:rsidRPr="002E37EE" w14:paraId="326B7593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97AEB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Newcastle University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398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 (=9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A832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5510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2AE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9469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7260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A42C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295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</w:tr>
      <w:tr w:rsidR="00203955" w:rsidRPr="002E37EE" w14:paraId="7FF90EAB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5E1E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Leicester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99D4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 (=9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4B59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5BA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300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A108C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B7C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D37B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7E9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</w:tr>
      <w:tr w:rsidR="00203955" w:rsidRPr="000526C0" w14:paraId="766C7248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BAD3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Sheffield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D82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90 (=9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AC5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7D94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7634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805D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DBC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F5C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B6D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</w:tr>
      <w:tr w:rsidR="00203955" w:rsidRPr="002E37EE" w14:paraId="63AE6384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3C3A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Glasgow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8518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 (=16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03A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91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406A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678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6F5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2B57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C9E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930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</w:tr>
      <w:tr w:rsidR="00203955" w:rsidRPr="002E37EE" w14:paraId="27E6A4D5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9A38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Cardiff University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12F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 (=16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53F2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C36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B57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742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4270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309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3240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</w:tr>
      <w:tr w:rsidR="00203955" w:rsidRPr="002E37EE" w14:paraId="0E2AEF12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E4237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Durham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F12B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 (=16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F56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C8B7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672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7192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CF4C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9679C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8CB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</w:tr>
      <w:tr w:rsidR="00203955" w:rsidRPr="002E37EE" w14:paraId="4934E6CA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4DEC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Sussex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1C0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 (=16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AC8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E13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2EE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498C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50479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96036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D1A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</w:tr>
      <w:tr w:rsidR="00203955" w:rsidRPr="002E37EE" w14:paraId="426EBA49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A06A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Southampton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4AB7F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 (=16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E85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930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9D8A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8B9EC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669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8F5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7105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</w:tr>
      <w:tr w:rsidR="00203955" w:rsidRPr="000526C0" w14:paraId="2B111499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D6AD2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Loughborough University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CE2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89 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(=16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BD202" w14:textId="3DE5D111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88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6089" w14:textId="17FEC395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72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81806" w14:textId="1859724F" w:rsidR="00203955" w:rsidRPr="00B879B0" w:rsidRDefault="0035123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83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E771E" w14:textId="24476BAC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87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AB0B" w14:textId="27525346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88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8343" w14:textId="4BF6F1A6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82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7903" w14:textId="3430C1C9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84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203955" w:rsidRPr="002E37EE" w14:paraId="798950A0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00760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Aberdeen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7C6E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(=16</w:t>
            </w:r>
            <w:r w:rsidRPr="00541F29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EA9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4E9C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8A7F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FBB0A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75D7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8F77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7A21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81</w:t>
            </w:r>
          </w:p>
        </w:tc>
      </w:tr>
      <w:tr w:rsidR="00203955" w:rsidRPr="002E37EE" w14:paraId="30937F6E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70815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Essex (University of)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DCE2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(=16</w:t>
            </w:r>
            <w:r w:rsidRPr="00541F29">
              <w:rPr>
                <w:rFonts w:asciiTheme="majorHAnsi" w:hAnsiTheme="majorHAnsi" w:cstheme="majorHAnsi"/>
                <w:color w:val="000000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A23F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3130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E9C68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334F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308C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54EA0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4C22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80</w:t>
            </w:r>
          </w:p>
        </w:tc>
      </w:tr>
      <w:tr w:rsidR="00203955" w:rsidRPr="002E37EE" w14:paraId="26281A06" w14:textId="77777777" w:rsidTr="009D407C">
        <w:trPr>
          <w:trHeight w:val="2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78F4" w14:textId="77777777" w:rsidR="00203955" w:rsidRPr="00B879B0" w:rsidRDefault="00203955" w:rsidP="009D407C">
            <w:pPr>
              <w:snapToGrid w:val="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Sector Wide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8E1E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929E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86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600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F17CD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DC9B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BE49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B313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97F4" w14:textId="77777777" w:rsidR="00203955" w:rsidRPr="00B879B0" w:rsidRDefault="00203955" w:rsidP="009D407C">
            <w:pPr>
              <w:snapToGrid w:val="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80</w:t>
            </w:r>
          </w:p>
        </w:tc>
      </w:tr>
      <w:tr w:rsidR="00203955" w:rsidRPr="002E37EE" w14:paraId="60F250CD" w14:textId="77777777" w:rsidTr="009D407C">
        <w:trPr>
          <w:trHeight w:val="2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1C5D" w14:textId="77777777" w:rsidR="00203955" w:rsidRPr="002E37EE" w:rsidRDefault="00203955" w:rsidP="009D407C">
            <w:pPr>
              <w:widowControl/>
              <w:spacing w:before="0" w:after="0"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00DC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F97A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730B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4FE7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21C4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35AB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B651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2090F" w14:textId="77777777" w:rsidR="00203955" w:rsidRPr="002E37EE" w:rsidRDefault="00203955" w:rsidP="009D407C">
            <w:pPr>
              <w:widowControl/>
              <w:spacing w:before="0" w:after="0"/>
              <w:rPr>
                <w:rFonts w:ascii="Verdana" w:hAnsi="Verdana"/>
                <w:snapToGrid/>
                <w:sz w:val="20"/>
              </w:rPr>
            </w:pPr>
          </w:p>
        </w:tc>
      </w:tr>
    </w:tbl>
    <w:p w14:paraId="4B12A5D5" w14:textId="77777777" w:rsidR="00203955" w:rsidRDefault="00203955" w:rsidP="00203955">
      <w:pPr>
        <w:spacing w:before="0" w:after="0"/>
        <w:rPr>
          <w:b/>
          <w:bCs/>
        </w:rPr>
        <w:sectPr w:rsidR="00203955">
          <w:pgSz w:w="16840" w:h="11901" w:orient="landscape" w:code="9"/>
          <w:pgMar w:top="1440" w:right="1009" w:bottom="1440" w:left="1077" w:header="709" w:footer="709" w:gutter="0"/>
          <w:cols w:space="720"/>
          <w:docGrid w:linePitch="326"/>
        </w:sectPr>
      </w:pP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6320"/>
        <w:gridCol w:w="4520"/>
        <w:gridCol w:w="1460"/>
        <w:gridCol w:w="1540"/>
        <w:gridCol w:w="1780"/>
      </w:tblGrid>
      <w:tr w:rsidR="00203955" w:rsidRPr="003970F7" w14:paraId="79F8219D" w14:textId="77777777" w:rsidTr="009D407C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0C2A8" w14:textId="77777777" w:rsidR="00203955" w:rsidRDefault="00203955" w:rsidP="009D407C">
            <w:pPr>
              <w:widowControl/>
              <w:spacing w:before="0" w:after="0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lastRenderedPageBreak/>
              <w:t>Table 2</w:t>
            </w:r>
          </w:p>
          <w:p w14:paraId="71E87E8B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Analysis of responses to Question 22, Overall Satisfaction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A0B0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snapToGrid/>
                <w:sz w:val="20"/>
                <w:lang w:eastAsia="zh-CN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8C6E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</w:p>
        </w:tc>
      </w:tr>
      <w:tr w:rsidR="00203955" w:rsidRPr="003970F7" w14:paraId="0956B64C" w14:textId="77777777" w:rsidTr="009D407C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7314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First Degree (Full Time)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A798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snapToGrid/>
                <w:sz w:val="20"/>
                <w:lang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708B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58E4A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0"/>
                <w:lang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8838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</w:p>
        </w:tc>
      </w:tr>
      <w:tr w:rsidR="00203955" w:rsidRPr="003970F7" w14:paraId="7363C466" w14:textId="77777777" w:rsidTr="009D407C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9C2EF1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snapToGrid/>
                <w:sz w:val="20"/>
                <w:lang w:eastAsia="zh-CN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1A945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snapToGrid/>
                <w:sz w:val="20"/>
                <w:lang w:eastAsia="zh-CN"/>
              </w:rPr>
              <w:t> 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78E1D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  <w:t>Loughborough University Ranking</w:t>
            </w:r>
          </w:p>
        </w:tc>
      </w:tr>
      <w:tr w:rsidR="00203955" w:rsidRPr="003970F7" w14:paraId="2894A8CE" w14:textId="77777777" w:rsidTr="009D407C">
        <w:trPr>
          <w:trHeight w:val="5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8366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  <w:t>School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27D41F" w14:textId="77777777" w:rsidR="00203955" w:rsidRPr="003970F7" w:rsidRDefault="00203955" w:rsidP="009D407C">
            <w:pPr>
              <w:widowControl/>
              <w:spacing w:before="0" w:after="0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  <w:t>JACS Subject Group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A9A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  <w:t>% agree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5868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  <w:t>Ranking based on % agree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6C0B" w14:textId="77777777" w:rsidR="00203955" w:rsidRPr="003970F7" w:rsidRDefault="00203955" w:rsidP="009D407C">
            <w:pPr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</w:pPr>
            <w:r w:rsidRPr="003970F7">
              <w:rPr>
                <w:rFonts w:ascii="Arial" w:hAnsi="Arial" w:cs="Arial"/>
                <w:b/>
                <w:bCs/>
                <w:snapToGrid/>
                <w:sz w:val="20"/>
                <w:lang w:eastAsia="zh-CN"/>
              </w:rPr>
              <w:t>Percentile</w:t>
            </w:r>
          </w:p>
        </w:tc>
      </w:tr>
      <w:tr w:rsidR="00203955" w:rsidRPr="003970F7" w14:paraId="7A8E98E9" w14:textId="77777777" w:rsidTr="009D407C">
        <w:trPr>
          <w:trHeight w:val="227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CB343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Aeronautical, Automotive, Chemical and Materials Engineering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5F5AB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8346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12A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6th out of 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C9FE3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5%</w:t>
            </w:r>
          </w:p>
        </w:tc>
      </w:tr>
      <w:tr w:rsidR="00203955" w:rsidRPr="003970F7" w14:paraId="0D109A16" w14:textId="77777777" w:rsidTr="009D407C">
        <w:trPr>
          <w:trHeight w:val="227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D0D7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Aeronautical, Automotive, Chemical and Materials Engineering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4B758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Chemical, Process and Energy Engineering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FB27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FBF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=3rd out of 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1ACD7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11%</w:t>
            </w:r>
          </w:p>
        </w:tc>
      </w:tr>
      <w:tr w:rsidR="00203955" w:rsidRPr="003970F7" w14:paraId="5FA3FDC5" w14:textId="77777777" w:rsidTr="009D407C">
        <w:trPr>
          <w:trHeight w:val="227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3F9A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Aeronautical, Automotive, Chemical and Materials Engineering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BCAC2B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Materials and Minerals Technology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D22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D90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1st out of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6CF6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0%</w:t>
            </w:r>
          </w:p>
        </w:tc>
      </w:tr>
      <w:tr w:rsidR="00203955" w:rsidRPr="003970F7" w14:paraId="1967AE34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B57B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Business and Economics 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FF51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Accounting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903B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CEFF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2nd out of 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17E2E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1%</w:t>
            </w:r>
          </w:p>
        </w:tc>
      </w:tr>
      <w:tr w:rsidR="00203955" w:rsidRPr="003970F7" w14:paraId="5AE1D4EB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2BA10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Business and Economics 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8C1F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005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0D9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=36th out of 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B517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55%</w:t>
            </w:r>
          </w:p>
        </w:tc>
      </w:tr>
      <w:tr w:rsidR="00203955" w:rsidRPr="003970F7" w14:paraId="78EF231F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2112A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Business and Economics 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9514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BC2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EAB4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=6th out of 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12EBD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10%</w:t>
            </w:r>
          </w:p>
        </w:tc>
      </w:tr>
      <w:tr w:rsidR="00203955" w:rsidRPr="003970F7" w14:paraId="0B5B9F2E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3520D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Business and Economics 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0F84E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Management studies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8282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75B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=12th out of 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1BC9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18%</w:t>
            </w:r>
          </w:p>
        </w:tc>
      </w:tr>
      <w:tr w:rsidR="00203955" w:rsidRPr="003970F7" w14:paraId="041CAE9A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66A6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Civil and Building Engineering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C97DC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Building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D5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CB2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3rd out of 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AFD8CA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8%</w:t>
            </w:r>
          </w:p>
        </w:tc>
      </w:tr>
      <w:tr w:rsidR="00203955" w:rsidRPr="003970F7" w14:paraId="4ED5C560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30F07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Civil and Building Engineering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446B8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76FB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2E5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=14th out of 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17297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33%</w:t>
            </w:r>
          </w:p>
        </w:tc>
      </w:tr>
      <w:tr w:rsidR="00203955" w:rsidRPr="003970F7" w14:paraId="5C714D02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1C864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71A056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Others in Technology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CE65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D9A6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1st out of 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C90F1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0%</w:t>
            </w:r>
          </w:p>
        </w:tc>
      </w:tr>
      <w:tr w:rsidR="00203955" w:rsidRPr="003970F7" w14:paraId="32250AD0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42F4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Design / The Arts, English and Drama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7743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Design studies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3FC4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F784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37 out of 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4F52B7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47%</w:t>
            </w:r>
          </w:p>
        </w:tc>
      </w:tr>
      <w:tr w:rsidR="00203955" w:rsidRPr="003970F7" w14:paraId="06A5F374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CA4E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Electronic, Electrical and Systems Engineering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0105C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Electronic and Electrical Engineering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615B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A1E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=12th out of 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A79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21%</w:t>
            </w:r>
          </w:p>
        </w:tc>
      </w:tr>
      <w:tr w:rsidR="00203955" w:rsidRPr="003970F7" w14:paraId="0730528D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94C3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Mechanical and Manufacturing Engineering / AACM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764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Mechanical, Production, Manufacturing Eng.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54E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DE6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=9th out of 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9FF9F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15%</w:t>
            </w:r>
          </w:p>
        </w:tc>
      </w:tr>
      <w:tr w:rsidR="00203955" w:rsidRPr="003970F7" w14:paraId="15B25F3C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BB24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248F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43E1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F22A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 out of 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C36E2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15%</w:t>
            </w:r>
          </w:p>
        </w:tc>
      </w:tr>
      <w:tr w:rsidR="00203955" w:rsidRPr="003970F7" w14:paraId="039FA024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C402F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73E8A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0A86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A115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=17th out of 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2F5369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16%</w:t>
            </w:r>
          </w:p>
        </w:tc>
      </w:tr>
      <w:tr w:rsidR="00203955" w:rsidRPr="003970F7" w14:paraId="34B04164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F3303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4BAD4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Information Services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2E75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175F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2nd out of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45B53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50%</w:t>
            </w:r>
          </w:p>
        </w:tc>
      </w:tr>
      <w:tr w:rsidR="00203955" w:rsidRPr="003970F7" w14:paraId="4AC7A865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962A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BA6BF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Mathematics and Statistics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B8B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26D4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=21st out of 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88CA1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33%</w:t>
            </w:r>
          </w:p>
        </w:tc>
      </w:tr>
      <w:tr w:rsidR="00203955" w:rsidRPr="003970F7" w14:paraId="686F17C4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41576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849DA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Physics and Astronomy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FEF3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6016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=25th out of 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CDB1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69%</w:t>
            </w:r>
          </w:p>
        </w:tc>
      </w:tr>
      <w:tr w:rsidR="00203955" w:rsidRPr="003970F7" w14:paraId="195DC69A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F9C70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Social, Political and Geographical Sciences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12D2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C44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CE9A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8th out of 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BDB1E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8%</w:t>
            </w:r>
          </w:p>
        </w:tc>
      </w:tr>
      <w:tr w:rsidR="00203955" w:rsidRPr="003970F7" w14:paraId="23CCB325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CED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Social, Political and Geographical Sciences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3361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Media studies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F39A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5B72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=37th out of 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1209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43%</w:t>
            </w:r>
          </w:p>
        </w:tc>
      </w:tr>
      <w:tr w:rsidR="00203955" w:rsidRPr="003970F7" w14:paraId="1085B534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15E0A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Social, Political and Geographical Sciences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81B066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Physical Geography and Environmental Science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222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128F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=12th out of 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1B55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19%</w:t>
            </w:r>
          </w:p>
        </w:tc>
      </w:tr>
      <w:tr w:rsidR="00203955" w:rsidRPr="003970F7" w14:paraId="4FFF0A32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5380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Social, Political and Geographical Sciences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3177F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Politics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2A65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3491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=60th out of 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C96A47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88%</w:t>
            </w:r>
          </w:p>
        </w:tc>
      </w:tr>
      <w:tr w:rsidR="00203955" w:rsidRPr="003970F7" w14:paraId="5D0574D8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7094B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Social, Political and Geographical Sciences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C2FA8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Policy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F65B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CEF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18th out of 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86FC9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89%</w:t>
            </w:r>
          </w:p>
        </w:tc>
      </w:tr>
      <w:tr w:rsidR="00203955" w:rsidRPr="003970F7" w14:paraId="56694B1B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06201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Social, Political and Geographical Sciences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C8A8B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C998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908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=14 out of 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43643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16%</w:t>
            </w:r>
          </w:p>
        </w:tc>
      </w:tr>
      <w:tr w:rsidR="00203955" w:rsidRPr="003970F7" w14:paraId="0D46FC0A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3279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Sport, Exercise and Health Sciences 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1E0E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Anatomy, Physiology and Pathology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02F2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DABF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=14th out of 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D39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30%</w:t>
            </w:r>
          </w:p>
        </w:tc>
      </w:tr>
      <w:tr w:rsidR="00203955" w:rsidRPr="003970F7" w14:paraId="1726375E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FC28D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Sport, Exercise and Health Sciences / </w:t>
            </w:r>
            <w:proofErr w:type="spellStart"/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Mech</w:t>
            </w:r>
            <w:proofErr w:type="spellEnd"/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7A0E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Sports Science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4CD3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4079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=13th out of 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AA4BAE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17%</w:t>
            </w:r>
          </w:p>
        </w:tc>
      </w:tr>
      <w:tr w:rsidR="00203955" w:rsidRPr="003970F7" w14:paraId="4A5BFC94" w14:textId="77777777" w:rsidTr="009D407C">
        <w:trPr>
          <w:trHeight w:val="480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6CCDE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Sport, Exercise and Health Sciences / Social, Political and Geographical Sciences / Design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8E319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8E78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8908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=39th out of 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C010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35%</w:t>
            </w:r>
          </w:p>
        </w:tc>
      </w:tr>
      <w:tr w:rsidR="00203955" w:rsidRPr="003970F7" w14:paraId="4C3D531D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5A0A4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The Arts, English and Drama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209C79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D98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8FC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=59th out of 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A6F51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73%</w:t>
            </w:r>
          </w:p>
        </w:tc>
      </w:tr>
      <w:tr w:rsidR="00203955" w:rsidRPr="003970F7" w14:paraId="176FA4C2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4D75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The Arts, English and Drama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A7E1D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English studies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D4A3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2A3D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=3rd out of 107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772268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2%</w:t>
            </w:r>
          </w:p>
        </w:tc>
      </w:tr>
      <w:tr w:rsidR="00203955" w:rsidRPr="003970F7" w14:paraId="314B7CBA" w14:textId="77777777" w:rsidTr="009D407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6A10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The Arts, English and Drama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1BB82" w14:textId="77777777" w:rsidR="00203955" w:rsidRPr="00B879B0" w:rsidRDefault="00203955" w:rsidP="009D407C">
            <w:pPr>
              <w:contextualSpacing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Fine Art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3FF1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F8F5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=46th out of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CB4F" w14:textId="77777777" w:rsidR="00203955" w:rsidRPr="00B879B0" w:rsidRDefault="00203955" w:rsidP="009D407C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B879B0">
              <w:rPr>
                <w:rFonts w:asciiTheme="majorHAnsi" w:hAnsiTheme="majorHAnsi" w:cstheme="majorHAnsi"/>
                <w:color w:val="000000"/>
                <w:sz w:val="20"/>
              </w:rPr>
              <w:t>83%</w:t>
            </w:r>
          </w:p>
        </w:tc>
      </w:tr>
      <w:tr w:rsidR="00203955" w:rsidRPr="003970F7" w14:paraId="0CD9468A" w14:textId="77777777" w:rsidTr="009D407C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CBC1E" w14:textId="77777777" w:rsidR="00203955" w:rsidRPr="00B879B0" w:rsidRDefault="00203955" w:rsidP="009D407C">
            <w:pPr>
              <w:widowControl/>
              <w:spacing w:before="0" w:after="0"/>
              <w:rPr>
                <w:rFonts w:asciiTheme="majorHAnsi" w:hAnsiTheme="majorHAnsi" w:cstheme="majorHAnsi"/>
                <w:snapToGrid/>
                <w:sz w:val="18"/>
                <w:szCs w:val="18"/>
                <w:lang w:eastAsia="zh-CN"/>
              </w:rPr>
            </w:pPr>
            <w:r w:rsidRPr="00B879B0">
              <w:rPr>
                <w:rFonts w:asciiTheme="majorHAnsi" w:hAnsiTheme="majorHAnsi" w:cstheme="majorHAnsi"/>
                <w:b/>
                <w:bCs/>
                <w:snapToGrid/>
                <w:sz w:val="18"/>
                <w:szCs w:val="18"/>
                <w:lang w:eastAsia="zh-CN"/>
              </w:rPr>
              <w:t>Note: All Institutions participating in the NSS are included in the rankings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AEDA" w14:textId="77777777" w:rsidR="00203955" w:rsidRPr="00B879B0" w:rsidRDefault="00203955" w:rsidP="009D407C">
            <w:pPr>
              <w:widowControl/>
              <w:spacing w:before="0" w:after="0"/>
              <w:jc w:val="center"/>
              <w:rPr>
                <w:rFonts w:asciiTheme="majorHAnsi" w:hAnsiTheme="majorHAnsi" w:cstheme="majorHAnsi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5C6DF" w14:textId="77777777" w:rsidR="00203955" w:rsidRPr="00B879B0" w:rsidRDefault="00203955" w:rsidP="009D407C">
            <w:pPr>
              <w:widowControl/>
              <w:spacing w:before="0" w:after="0"/>
              <w:jc w:val="center"/>
              <w:rPr>
                <w:rFonts w:asciiTheme="majorHAnsi" w:hAnsiTheme="majorHAnsi" w:cstheme="majorHAnsi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4595" w14:textId="77777777" w:rsidR="00203955" w:rsidRPr="00B879B0" w:rsidRDefault="00203955" w:rsidP="009D407C">
            <w:pPr>
              <w:widowControl/>
              <w:spacing w:before="0" w:after="0"/>
              <w:rPr>
                <w:rFonts w:asciiTheme="majorHAnsi" w:hAnsiTheme="majorHAnsi" w:cstheme="majorHAnsi"/>
                <w:snapToGrid/>
                <w:sz w:val="20"/>
                <w:lang w:eastAsia="zh-CN"/>
              </w:rPr>
            </w:pPr>
          </w:p>
        </w:tc>
      </w:tr>
    </w:tbl>
    <w:p w14:paraId="0673D4B5" w14:textId="77777777" w:rsidR="00203955" w:rsidRDefault="00203955" w:rsidP="00203955">
      <w:pPr>
        <w:spacing w:after="0"/>
        <w:rPr>
          <w:b/>
          <w:bCs/>
        </w:rPr>
        <w:sectPr w:rsidR="00203955">
          <w:pgSz w:w="16840" w:h="11901" w:orient="landscape" w:code="9"/>
          <w:pgMar w:top="851" w:right="907" w:bottom="851" w:left="907" w:header="709" w:footer="709" w:gutter="0"/>
          <w:cols w:space="720"/>
          <w:docGrid w:linePitch="326"/>
        </w:sectPr>
      </w:pPr>
    </w:p>
    <w:p w14:paraId="24B3DC8D" w14:textId="77777777" w:rsidR="00203955" w:rsidRDefault="00203955" w:rsidP="00840870">
      <w:pPr>
        <w:spacing w:before="0" w:after="0"/>
      </w:pPr>
    </w:p>
    <w:sectPr w:rsidR="00203955" w:rsidSect="007163E6">
      <w:pgSz w:w="16840" w:h="11901" w:orient="landscape" w:code="9"/>
      <w:pgMar w:top="851" w:right="907" w:bottom="851" w:left="90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24BD" w14:textId="77777777" w:rsidR="00243132" w:rsidRDefault="00243132" w:rsidP="00243132">
      <w:pPr>
        <w:spacing w:before="0" w:after="0"/>
      </w:pPr>
      <w:r>
        <w:separator/>
      </w:r>
    </w:p>
  </w:endnote>
  <w:endnote w:type="continuationSeparator" w:id="0">
    <w:p w14:paraId="79EA47C6" w14:textId="77777777" w:rsidR="00243132" w:rsidRDefault="00243132" w:rsidP="002431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867E" w14:textId="77777777" w:rsidR="00243132" w:rsidRDefault="00243132" w:rsidP="00243132">
      <w:pPr>
        <w:spacing w:before="0" w:after="0"/>
      </w:pPr>
      <w:r>
        <w:separator/>
      </w:r>
    </w:p>
  </w:footnote>
  <w:footnote w:type="continuationSeparator" w:id="0">
    <w:p w14:paraId="57821B47" w14:textId="77777777" w:rsidR="00243132" w:rsidRDefault="00243132" w:rsidP="002431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30A7" w14:textId="376B94A2" w:rsidR="00DD510B" w:rsidRPr="00DD510B" w:rsidRDefault="00DD510B" w:rsidP="00DD510B">
    <w:pPr>
      <w:pStyle w:val="Header"/>
      <w:jc w:val="right"/>
      <w:rPr>
        <w:rFonts w:ascii="Arial" w:hAnsi="Arial" w:cs="Arial"/>
        <w:sz w:val="22"/>
        <w:szCs w:val="22"/>
      </w:rPr>
    </w:pPr>
    <w:r w:rsidRPr="00DD510B">
      <w:rPr>
        <w:rFonts w:ascii="Arial" w:hAnsi="Arial" w:cs="Arial"/>
        <w:sz w:val="22"/>
        <w:szCs w:val="22"/>
      </w:rPr>
      <w:t>SEN12-P</w:t>
    </w:r>
    <w:r w:rsidR="00020726">
      <w:rPr>
        <w:rFonts w:ascii="Arial" w:hAnsi="Arial" w:cs="Arial"/>
        <w:sz w:val="22"/>
        <w:szCs w:val="22"/>
      </w:rPr>
      <w:t>103B</w:t>
    </w:r>
  </w:p>
  <w:p w14:paraId="4999ED11" w14:textId="7C71ED88" w:rsidR="00DD510B" w:rsidRPr="00DD510B" w:rsidRDefault="00DD510B" w:rsidP="00DD510B">
    <w:pPr>
      <w:pStyle w:val="Header"/>
      <w:jc w:val="right"/>
      <w:rPr>
        <w:rFonts w:ascii="Arial" w:hAnsi="Arial" w:cs="Arial"/>
        <w:sz w:val="22"/>
        <w:szCs w:val="22"/>
      </w:rPr>
    </w:pPr>
    <w:r w:rsidRPr="00DD510B">
      <w:rPr>
        <w:rFonts w:ascii="Arial" w:hAnsi="Arial" w:cs="Arial"/>
        <w:sz w:val="22"/>
        <w:szCs w:val="22"/>
      </w:rPr>
      <w:t>7 November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37B7"/>
    <w:multiLevelType w:val="multilevel"/>
    <w:tmpl w:val="D2DCF662"/>
    <w:lvl w:ilvl="0">
      <w:start w:val="1"/>
      <w:numFmt w:val="decimal"/>
      <w:pStyle w:val="1Numbhead"/>
      <w:lvlText w:val="%1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olor w:val="005837"/>
        <w:sz w:val="28"/>
      </w:rPr>
    </w:lvl>
    <w:lvl w:ilvl="1">
      <w:start w:val="1"/>
      <w:numFmt w:val="decimal"/>
      <w:pStyle w:val="11Para"/>
      <w:lvlText w:val="%1.%2"/>
      <w:lvlJc w:val="left"/>
      <w:pPr>
        <w:tabs>
          <w:tab w:val="num" w:pos="85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11Para"/>
      <w:lvlText w:val="%1.%2.%3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Roman"/>
      <w:pStyle w:val="iPara"/>
      <w:lvlText w:val="%4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none"/>
      <w:lvlText w:val="(a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55"/>
    <w:rsid w:val="00020726"/>
    <w:rsid w:val="00202E8E"/>
    <w:rsid w:val="00203955"/>
    <w:rsid w:val="00243132"/>
    <w:rsid w:val="002C0AB1"/>
    <w:rsid w:val="00351235"/>
    <w:rsid w:val="004136C6"/>
    <w:rsid w:val="00440B04"/>
    <w:rsid w:val="0044398C"/>
    <w:rsid w:val="004F5C8F"/>
    <w:rsid w:val="007776F8"/>
    <w:rsid w:val="00806074"/>
    <w:rsid w:val="00840870"/>
    <w:rsid w:val="0091147C"/>
    <w:rsid w:val="00CB7F14"/>
    <w:rsid w:val="00DB5094"/>
    <w:rsid w:val="00DD510B"/>
    <w:rsid w:val="00E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B4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55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203955"/>
    <w:pPr>
      <w:keepNext/>
      <w:outlineLvl w:val="3"/>
    </w:pPr>
    <w:rPr>
      <w:b/>
      <w:sz w:val="28"/>
    </w:rPr>
  </w:style>
  <w:style w:type="paragraph" w:styleId="BodyText">
    <w:name w:val="Body Text"/>
    <w:basedOn w:val="Normal"/>
    <w:link w:val="BodyTextChar"/>
    <w:rsid w:val="00203955"/>
    <w:pPr>
      <w:tabs>
        <w:tab w:val="left" w:pos="720"/>
        <w:tab w:val="left" w:pos="5760"/>
        <w:tab w:val="left" w:pos="8910"/>
      </w:tabs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203955"/>
    <w:rPr>
      <w:rFonts w:ascii="Arial" w:eastAsia="Times New Roman" w:hAnsi="Arial" w:cs="Arial"/>
      <w:snapToGrid w:val="0"/>
      <w:sz w:val="18"/>
      <w:szCs w:val="20"/>
      <w:lang w:val="en-GB"/>
    </w:rPr>
  </w:style>
  <w:style w:type="paragraph" w:customStyle="1" w:styleId="1Numbhead">
    <w:name w:val="1 Numb head"/>
    <w:basedOn w:val="Heading2"/>
    <w:qFormat/>
    <w:rsid w:val="00203955"/>
    <w:pPr>
      <w:keepNext w:val="0"/>
      <w:keepLines w:val="0"/>
      <w:widowControl/>
      <w:numPr>
        <w:numId w:val="1"/>
      </w:numPr>
      <w:tabs>
        <w:tab w:val="clear" w:pos="851"/>
        <w:tab w:val="num" w:pos="360"/>
      </w:tabs>
      <w:spacing w:before="0" w:after="220"/>
    </w:pPr>
    <w:rPr>
      <w:rFonts w:ascii="Arial" w:eastAsia="Times New Roman" w:hAnsi="Arial" w:cs="Times New Roman"/>
      <w:bCs w:val="0"/>
      <w:color w:val="005837"/>
      <w:sz w:val="28"/>
      <w:szCs w:val="20"/>
    </w:rPr>
  </w:style>
  <w:style w:type="paragraph" w:customStyle="1" w:styleId="111Para">
    <w:name w:val="1.1.1 Para"/>
    <w:basedOn w:val="11Para"/>
    <w:qFormat/>
    <w:rsid w:val="00203955"/>
    <w:pPr>
      <w:numPr>
        <w:ilvl w:val="2"/>
      </w:numPr>
    </w:pPr>
  </w:style>
  <w:style w:type="paragraph" w:customStyle="1" w:styleId="11Para">
    <w:name w:val="1.1 Para"/>
    <w:basedOn w:val="Normal"/>
    <w:qFormat/>
    <w:rsid w:val="00203955"/>
    <w:pPr>
      <w:widowControl/>
      <w:numPr>
        <w:ilvl w:val="1"/>
        <w:numId w:val="1"/>
      </w:numPr>
      <w:spacing w:before="0" w:after="220"/>
    </w:pPr>
    <w:rPr>
      <w:rFonts w:ascii="Arial" w:hAnsi="Arial"/>
      <w:snapToGrid/>
      <w:sz w:val="22"/>
      <w:szCs w:val="24"/>
      <w:lang w:eastAsia="en-GB"/>
    </w:rPr>
  </w:style>
  <w:style w:type="paragraph" w:customStyle="1" w:styleId="iPara">
    <w:name w:val="i) Para"/>
    <w:basedOn w:val="11Para"/>
    <w:qFormat/>
    <w:rsid w:val="00203955"/>
    <w:pPr>
      <w:numPr>
        <w:ilvl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5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5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55"/>
    <w:rPr>
      <w:rFonts w:ascii="Lucida Grande" w:eastAsia="Times New Roman" w:hAnsi="Lucida Grande" w:cs="Lucida Grande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313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132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3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132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55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203955"/>
    <w:pPr>
      <w:keepNext/>
      <w:outlineLvl w:val="3"/>
    </w:pPr>
    <w:rPr>
      <w:b/>
      <w:sz w:val="28"/>
    </w:rPr>
  </w:style>
  <w:style w:type="paragraph" w:styleId="BodyText">
    <w:name w:val="Body Text"/>
    <w:basedOn w:val="Normal"/>
    <w:link w:val="BodyTextChar"/>
    <w:rsid w:val="00203955"/>
    <w:pPr>
      <w:tabs>
        <w:tab w:val="left" w:pos="720"/>
        <w:tab w:val="left" w:pos="5760"/>
        <w:tab w:val="left" w:pos="8910"/>
      </w:tabs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203955"/>
    <w:rPr>
      <w:rFonts w:ascii="Arial" w:eastAsia="Times New Roman" w:hAnsi="Arial" w:cs="Arial"/>
      <w:snapToGrid w:val="0"/>
      <w:sz w:val="18"/>
      <w:szCs w:val="20"/>
      <w:lang w:val="en-GB"/>
    </w:rPr>
  </w:style>
  <w:style w:type="paragraph" w:customStyle="1" w:styleId="1Numbhead">
    <w:name w:val="1 Numb head"/>
    <w:basedOn w:val="Heading2"/>
    <w:qFormat/>
    <w:rsid w:val="00203955"/>
    <w:pPr>
      <w:keepNext w:val="0"/>
      <w:keepLines w:val="0"/>
      <w:widowControl/>
      <w:numPr>
        <w:numId w:val="1"/>
      </w:numPr>
      <w:tabs>
        <w:tab w:val="clear" w:pos="851"/>
        <w:tab w:val="num" w:pos="360"/>
      </w:tabs>
      <w:spacing w:before="0" w:after="220"/>
    </w:pPr>
    <w:rPr>
      <w:rFonts w:ascii="Arial" w:eastAsia="Times New Roman" w:hAnsi="Arial" w:cs="Times New Roman"/>
      <w:bCs w:val="0"/>
      <w:color w:val="005837"/>
      <w:sz w:val="28"/>
      <w:szCs w:val="20"/>
    </w:rPr>
  </w:style>
  <w:style w:type="paragraph" w:customStyle="1" w:styleId="111Para">
    <w:name w:val="1.1.1 Para"/>
    <w:basedOn w:val="11Para"/>
    <w:qFormat/>
    <w:rsid w:val="00203955"/>
    <w:pPr>
      <w:numPr>
        <w:ilvl w:val="2"/>
      </w:numPr>
    </w:pPr>
  </w:style>
  <w:style w:type="paragraph" w:customStyle="1" w:styleId="11Para">
    <w:name w:val="1.1 Para"/>
    <w:basedOn w:val="Normal"/>
    <w:qFormat/>
    <w:rsid w:val="00203955"/>
    <w:pPr>
      <w:widowControl/>
      <w:numPr>
        <w:ilvl w:val="1"/>
        <w:numId w:val="1"/>
      </w:numPr>
      <w:spacing w:before="0" w:after="220"/>
    </w:pPr>
    <w:rPr>
      <w:rFonts w:ascii="Arial" w:hAnsi="Arial"/>
      <w:snapToGrid/>
      <w:sz w:val="22"/>
      <w:szCs w:val="24"/>
      <w:lang w:eastAsia="en-GB"/>
    </w:rPr>
  </w:style>
  <w:style w:type="paragraph" w:customStyle="1" w:styleId="iPara">
    <w:name w:val="i) Para"/>
    <w:basedOn w:val="11Para"/>
    <w:qFormat/>
    <w:rsid w:val="00203955"/>
    <w:pPr>
      <w:numPr>
        <w:ilvl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55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5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55"/>
    <w:rPr>
      <w:rFonts w:ascii="Lucida Grande" w:eastAsia="Times New Roman" w:hAnsi="Lucida Grande" w:cs="Lucida Grande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313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132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3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132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Bell</dc:creator>
  <cp:lastModifiedBy>Staff/Research Student</cp:lastModifiedBy>
  <cp:revision>2</cp:revision>
  <cp:lastPrinted>2012-10-26T15:04:00Z</cp:lastPrinted>
  <dcterms:created xsi:type="dcterms:W3CDTF">2012-10-31T15:49:00Z</dcterms:created>
  <dcterms:modified xsi:type="dcterms:W3CDTF">2012-10-31T15:49:00Z</dcterms:modified>
</cp:coreProperties>
</file>